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1637" w:rsidRPr="00ED1637" w:rsidRDefault="00ED1637" w:rsidP="00ED1637">
      <w:pPr>
        <w:spacing w:after="0" w:line="250" w:lineRule="auto"/>
        <w:ind w:left="11" w:right="1" w:hanging="10"/>
        <w:jc w:val="center"/>
        <w:rPr>
          <w:rFonts w:eastAsiaTheme="minorEastAsia" w:cstheme="minorHAnsi"/>
          <w:kern w:val="0"/>
          <w:sz w:val="24"/>
          <w:szCs w:val="24"/>
          <w:lang w:eastAsia="bg-BG"/>
          <w14:ligatures w14:val="none"/>
        </w:rPr>
      </w:pPr>
    </w:p>
    <w:p w:rsidR="00ED1637" w:rsidRPr="00ED1637" w:rsidRDefault="00ED1637" w:rsidP="00ED1637">
      <w:pPr>
        <w:spacing w:after="120" w:line="240" w:lineRule="auto"/>
        <w:jc w:val="both"/>
        <w:rPr>
          <w:rFonts w:eastAsia="Arial" w:cstheme="minorHAnsi"/>
          <w:color w:val="050505"/>
          <w:kern w:val="0"/>
          <w:sz w:val="24"/>
          <w:shd w:val="clear" w:color="auto" w:fill="FFFFFF"/>
          <w:lang w:eastAsia="bg-BG" w:bidi="bg-BG"/>
          <w14:ligatures w14:val="none"/>
        </w:rPr>
      </w:pPr>
    </w:p>
    <w:p w:rsidR="00ED1637" w:rsidRPr="00ED1637" w:rsidRDefault="00ED1637" w:rsidP="00ED1637">
      <w:pPr>
        <w:jc w:val="center"/>
        <w:rPr>
          <w:rFonts w:eastAsia="Arial" w:cstheme="minorHAnsi"/>
          <w:b/>
          <w:bCs/>
          <w:iCs/>
          <w:color w:val="000000"/>
          <w:kern w:val="0"/>
          <w:sz w:val="25"/>
          <w:lang w:eastAsia="bg-BG" w:bidi="bg-BG"/>
          <w14:ligatures w14:val="none"/>
        </w:rPr>
      </w:pPr>
      <w:r w:rsidRPr="00ED1637">
        <w:rPr>
          <w:rFonts w:eastAsia="Arial" w:cstheme="minorHAnsi"/>
          <w:b/>
          <w:bCs/>
          <w:iCs/>
          <w:color w:val="000000"/>
          <w:kern w:val="0"/>
          <w:sz w:val="25"/>
          <w:lang w:eastAsia="bg-BG" w:bidi="bg-BG"/>
          <w14:ligatures w14:val="none"/>
        </w:rPr>
        <w:tab/>
      </w:r>
    </w:p>
    <w:p w:rsidR="00ED1637" w:rsidRPr="006E5272" w:rsidRDefault="00ED1637" w:rsidP="006E5272">
      <w:pPr>
        <w:ind w:left="4956"/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6E5272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До</w:t>
      </w:r>
    </w:p>
    <w:p w:rsidR="00ED1637" w:rsidRPr="006E5272" w:rsidRDefault="00ED1637" w:rsidP="006E5272">
      <w:pPr>
        <w:ind w:left="4956"/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6E5272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Министерство на образованието</w:t>
      </w:r>
    </w:p>
    <w:p w:rsidR="00ED1637" w:rsidRPr="006E5272" w:rsidRDefault="00ED1637" w:rsidP="006E5272">
      <w:pPr>
        <w:ind w:left="4956"/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6E5272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 xml:space="preserve">До </w:t>
      </w:r>
    </w:p>
    <w:p w:rsidR="00ED1637" w:rsidRPr="006E5272" w:rsidRDefault="00ED1637" w:rsidP="006E5272">
      <w:pPr>
        <w:ind w:left="4956"/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6E5272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Министерство на здравеопазването</w:t>
      </w:r>
    </w:p>
    <w:p w:rsidR="00ED1637" w:rsidRPr="006E5272" w:rsidRDefault="00ED1637" w:rsidP="006E5272">
      <w:pPr>
        <w:ind w:left="4956"/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6E5272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Копия:</w:t>
      </w:r>
    </w:p>
    <w:p w:rsidR="00ED1637" w:rsidRPr="006E5272" w:rsidRDefault="00ED1637" w:rsidP="006E5272">
      <w:pPr>
        <w:ind w:left="4956"/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6E5272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 xml:space="preserve">До </w:t>
      </w:r>
    </w:p>
    <w:p w:rsidR="00ED1637" w:rsidRPr="006E5272" w:rsidRDefault="00ED1637" w:rsidP="006E5272">
      <w:pPr>
        <w:ind w:left="4956"/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6E5272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Началниците на РУО</w:t>
      </w:r>
    </w:p>
    <w:p w:rsidR="00ED1637" w:rsidRPr="006E5272" w:rsidRDefault="00ED1637" w:rsidP="006E5272">
      <w:pPr>
        <w:ind w:left="4956"/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6E5272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До</w:t>
      </w:r>
    </w:p>
    <w:p w:rsidR="00ED1637" w:rsidRPr="006E5272" w:rsidRDefault="00ED1637" w:rsidP="006E5272">
      <w:pPr>
        <w:ind w:left="4956"/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6E5272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Директорите на учебни заведения</w:t>
      </w:r>
    </w:p>
    <w:p w:rsidR="00ED1637" w:rsidRPr="006E5272" w:rsidRDefault="00ED1637" w:rsidP="006E5272">
      <w:pPr>
        <w:ind w:left="4956"/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6E5272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 xml:space="preserve">До </w:t>
      </w:r>
    </w:p>
    <w:p w:rsidR="00ED1637" w:rsidRPr="006E5272" w:rsidRDefault="00ED1637" w:rsidP="006E5272">
      <w:pPr>
        <w:ind w:left="4956"/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6E5272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Директорите на РЗИ</w:t>
      </w:r>
    </w:p>
    <w:p w:rsidR="00ED1637" w:rsidRPr="00ED1637" w:rsidRDefault="00ED1637" w:rsidP="00ED1637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kern w:val="0"/>
          <w:sz w:val="24"/>
          <w:szCs w:val="24"/>
          <w:lang w:eastAsia="bg-BG"/>
          <w14:ligatures w14:val="none"/>
        </w:rPr>
      </w:pPr>
    </w:p>
    <w:p w:rsidR="00ED1637" w:rsidRPr="00ED1637" w:rsidRDefault="00ED1637" w:rsidP="00ED1637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caps/>
          <w:color w:val="000000"/>
          <w:kern w:val="0"/>
          <w:sz w:val="28"/>
          <w:szCs w:val="28"/>
          <w:lang w:eastAsia="bg-BG"/>
          <w14:ligatures w14:val="none"/>
        </w:rPr>
      </w:pPr>
    </w:p>
    <w:p w:rsidR="00ED1637" w:rsidRPr="00ED1637" w:rsidRDefault="00ED1637" w:rsidP="00ED1637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caps/>
          <w:color w:val="000000"/>
          <w:kern w:val="0"/>
          <w:sz w:val="28"/>
          <w:szCs w:val="28"/>
          <w:lang w:eastAsia="bg-BG"/>
          <w14:ligatures w14:val="none"/>
        </w:rPr>
      </w:pPr>
      <w:r w:rsidRPr="00ED1637">
        <w:rPr>
          <w:rFonts w:eastAsiaTheme="minorEastAsia" w:cstheme="minorHAnsi"/>
          <w:b/>
          <w:bCs/>
          <w:caps/>
          <w:color w:val="000000"/>
          <w:kern w:val="0"/>
          <w:sz w:val="28"/>
          <w:szCs w:val="28"/>
          <w:lang w:eastAsia="bg-BG"/>
          <w14:ligatures w14:val="none"/>
        </w:rPr>
        <w:t>И</w:t>
      </w:r>
      <w:r w:rsidR="00447B66">
        <w:rPr>
          <w:rFonts w:eastAsiaTheme="minorEastAsia" w:cstheme="minorHAnsi"/>
          <w:b/>
          <w:bCs/>
          <w:caps/>
          <w:color w:val="000000"/>
          <w:kern w:val="0"/>
          <w:sz w:val="28"/>
          <w:szCs w:val="28"/>
          <w:lang w:eastAsia="bg-BG"/>
          <w14:ligatures w14:val="none"/>
        </w:rPr>
        <w:t>ЗИ</w:t>
      </w:r>
      <w:r w:rsidRPr="00ED1637">
        <w:rPr>
          <w:rFonts w:eastAsiaTheme="minorEastAsia" w:cstheme="minorHAnsi"/>
          <w:b/>
          <w:bCs/>
          <w:caps/>
          <w:color w:val="000000"/>
          <w:kern w:val="0"/>
          <w:sz w:val="28"/>
          <w:szCs w:val="28"/>
          <w:lang w:eastAsia="bg-BG"/>
          <w14:ligatures w14:val="none"/>
        </w:rPr>
        <w:t>СК</w:t>
      </w:r>
      <w:r w:rsidR="00447B66">
        <w:rPr>
          <w:rFonts w:eastAsiaTheme="minorEastAsia" w:cstheme="minorHAnsi"/>
          <w:b/>
          <w:bCs/>
          <w:caps/>
          <w:color w:val="000000"/>
          <w:kern w:val="0"/>
          <w:sz w:val="28"/>
          <w:szCs w:val="28"/>
          <w:lang w:eastAsia="bg-BG"/>
          <w14:ligatures w14:val="none"/>
        </w:rPr>
        <w:t>В</w:t>
      </w:r>
      <w:r w:rsidRPr="00ED1637">
        <w:rPr>
          <w:rFonts w:eastAsiaTheme="minorEastAsia" w:cstheme="minorHAnsi"/>
          <w:b/>
          <w:bCs/>
          <w:caps/>
          <w:color w:val="000000"/>
          <w:kern w:val="0"/>
          <w:sz w:val="28"/>
          <w:szCs w:val="28"/>
          <w:lang w:eastAsia="bg-BG"/>
          <w14:ligatures w14:val="none"/>
        </w:rPr>
        <w:t>АНЕ</w:t>
      </w:r>
    </w:p>
    <w:p w:rsidR="00ED1637" w:rsidRPr="00ED1637" w:rsidRDefault="00ED1637" w:rsidP="00ED1637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caps/>
          <w:color w:val="000000"/>
          <w:kern w:val="0"/>
          <w:sz w:val="28"/>
          <w:szCs w:val="28"/>
          <w:lang w:eastAsia="bg-BG"/>
          <w14:ligatures w14:val="none"/>
        </w:rPr>
      </w:pPr>
    </w:p>
    <w:p w:rsidR="00447B66" w:rsidRDefault="00DF5913" w:rsidP="00ED1637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color w:val="000000"/>
          <w:kern w:val="0"/>
          <w:sz w:val="28"/>
          <w:szCs w:val="28"/>
          <w:lang w:eastAsia="bg-BG"/>
          <w14:ligatures w14:val="none"/>
        </w:rPr>
      </w:pPr>
      <w:r>
        <w:rPr>
          <w:rFonts w:eastAsiaTheme="minorEastAsia" w:cstheme="minorHAnsi"/>
          <w:color w:val="000000"/>
          <w:kern w:val="0"/>
          <w:sz w:val="28"/>
          <w:szCs w:val="28"/>
          <w:lang w:eastAsia="bg-BG"/>
          <w14:ligatures w14:val="none"/>
        </w:rPr>
        <w:t>о</w:t>
      </w:r>
      <w:r w:rsidR="00447B66">
        <w:rPr>
          <w:rFonts w:eastAsiaTheme="minorEastAsia" w:cstheme="minorHAnsi"/>
          <w:color w:val="000000"/>
          <w:kern w:val="0"/>
          <w:sz w:val="28"/>
          <w:szCs w:val="28"/>
          <w:lang w:eastAsia="bg-BG"/>
          <w14:ligatures w14:val="none"/>
        </w:rPr>
        <w:t>т</w:t>
      </w:r>
    </w:p>
    <w:p w:rsidR="00ED62D4" w:rsidRDefault="00ED62D4" w:rsidP="00ED1637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color w:val="000000"/>
          <w:kern w:val="0"/>
          <w:sz w:val="28"/>
          <w:szCs w:val="28"/>
          <w:lang w:eastAsia="bg-BG"/>
          <w14:ligatures w14:val="none"/>
        </w:rPr>
      </w:pPr>
    </w:p>
    <w:p w:rsidR="00447B66" w:rsidRDefault="00ED62D4" w:rsidP="00447B6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theme="minorHAnsi"/>
          <w:color w:val="000000"/>
          <w:kern w:val="0"/>
          <w:sz w:val="28"/>
          <w:szCs w:val="28"/>
          <w:lang w:eastAsia="bg-BG"/>
          <w14:ligatures w14:val="none"/>
        </w:rPr>
      </w:pPr>
      <w:r>
        <w:rPr>
          <w:rFonts w:eastAsiaTheme="minorEastAsia" w:cstheme="minorHAnsi"/>
          <w:color w:val="000000"/>
          <w:kern w:val="0"/>
          <w:sz w:val="28"/>
          <w:szCs w:val="28"/>
          <w:lang w:eastAsia="bg-BG"/>
          <w14:ligatures w14:val="none"/>
        </w:rPr>
        <w:t>…………………………………………………………………………………………………………………….</w:t>
      </w:r>
    </w:p>
    <w:p w:rsidR="00ED62D4" w:rsidRDefault="00ED62D4" w:rsidP="00447B6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theme="minorHAnsi"/>
          <w:color w:val="000000"/>
          <w:kern w:val="0"/>
          <w:sz w:val="28"/>
          <w:szCs w:val="28"/>
          <w:lang w:eastAsia="bg-BG"/>
          <w14:ligatures w14:val="none"/>
        </w:rPr>
      </w:pPr>
    </w:p>
    <w:p w:rsidR="00447B66" w:rsidRDefault="00447B66" w:rsidP="00447B6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theme="minorHAnsi"/>
          <w:color w:val="000000"/>
          <w:kern w:val="0"/>
          <w:sz w:val="28"/>
          <w:szCs w:val="28"/>
          <w:lang w:eastAsia="bg-BG"/>
          <w14:ligatures w14:val="none"/>
        </w:rPr>
      </w:pPr>
    </w:p>
    <w:p w:rsidR="00ED1637" w:rsidRPr="00ED1637" w:rsidRDefault="00ED1637" w:rsidP="00447B6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theme="minorHAnsi"/>
          <w:color w:val="000000"/>
          <w:kern w:val="0"/>
          <w:sz w:val="28"/>
          <w:szCs w:val="28"/>
          <w:lang w:eastAsia="bg-BG"/>
          <w14:ligatures w14:val="none"/>
        </w:rPr>
      </w:pPr>
      <w:r w:rsidRPr="00ED1637">
        <w:rPr>
          <w:rFonts w:eastAsiaTheme="minorEastAsia" w:cstheme="minorHAnsi"/>
          <w:b/>
          <w:bCs/>
          <w:color w:val="000000"/>
          <w:kern w:val="0"/>
          <w:sz w:val="28"/>
          <w:szCs w:val="28"/>
          <w:lang w:eastAsia="bg-BG"/>
          <w14:ligatures w14:val="none"/>
        </w:rPr>
        <w:t>Относно:</w:t>
      </w:r>
      <w:r w:rsidRPr="00ED1637">
        <w:rPr>
          <w:rFonts w:eastAsiaTheme="minorEastAsia" w:cstheme="minorHAnsi"/>
          <w:color w:val="000000"/>
          <w:kern w:val="0"/>
          <w:sz w:val="28"/>
          <w:szCs w:val="28"/>
          <w:lang w:eastAsia="bg-BG"/>
          <w14:ligatures w14:val="none"/>
        </w:rPr>
        <w:t xml:space="preserve"> Прилагане на новоприетата законова поправка срещу ЛГБТИП пропагандата в учебните заведения. </w:t>
      </w:r>
    </w:p>
    <w:p w:rsidR="00ED1637" w:rsidRPr="00ED1637" w:rsidRDefault="00ED1637" w:rsidP="00ED1637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</w:p>
    <w:p w:rsidR="00ED1637" w:rsidRPr="00ED1637" w:rsidRDefault="00ED1637" w:rsidP="00ED1637">
      <w:pPr>
        <w:spacing w:after="120" w:line="240" w:lineRule="auto"/>
        <w:ind w:firstLine="709"/>
        <w:jc w:val="both"/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D1637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Уважаеми Дами</w:t>
      </w:r>
      <w:r w:rsidRPr="00ED1637">
        <w:rPr>
          <w:rFonts w:eastAsia="Calibri" w:cstheme="minorHAnsi"/>
          <w:b/>
          <w:bCs/>
          <w:color w:val="000000"/>
          <w:kern w:val="0"/>
          <w:sz w:val="28"/>
          <w:szCs w:val="28"/>
          <w:lang w:val="en-US" w:eastAsia="bg-BG" w:bidi="bg-BG"/>
          <w14:ligatures w14:val="none"/>
        </w:rPr>
        <w:t xml:space="preserve"> </w:t>
      </w:r>
      <w:r w:rsidRPr="00ED1637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и Господа,</w:t>
      </w:r>
    </w:p>
    <w:p w:rsidR="006A4DE7" w:rsidRPr="006A4DE7" w:rsidRDefault="006A4DE7" w:rsidP="006A4DE7">
      <w:pPr>
        <w:spacing w:after="120" w:line="240" w:lineRule="auto"/>
        <w:ind w:firstLine="709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6A4DE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Ние сме група формални и неформални организации, защитаващи българския морал, национални ценности и семейно-родови традиции, основани върху християнската вяра и канон.  Затова </w:t>
      </w:r>
      <w:r w:rsidR="0014248F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заявяваме </w:t>
      </w:r>
      <w:r w:rsidRPr="006A4DE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нашето становище и и</w:t>
      </w:r>
      <w:r w:rsidR="0014248F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зи</w:t>
      </w:r>
      <w:r w:rsidRPr="006A4DE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ск</w:t>
      </w:r>
      <w:r w:rsidR="0014248F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в</w:t>
      </w:r>
      <w:r w:rsidRPr="006A4DE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ания, </w:t>
      </w:r>
      <w:r w:rsidR="0014248F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които</w:t>
      </w:r>
      <w:r w:rsidRPr="006A4DE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 засягат основни християнски, общочовешки и български традиционни семейни ценности на основание чл. 13 ал.3, чл. 14, чл. 32 ал. 1 и чл. 46 ал. 1 от Конституцията.</w:t>
      </w:r>
    </w:p>
    <w:p w:rsidR="006A4DE7" w:rsidRPr="006A4DE7" w:rsidRDefault="006A4DE7" w:rsidP="006A4DE7">
      <w:pPr>
        <w:spacing w:after="120" w:line="240" w:lineRule="auto"/>
        <w:ind w:firstLine="709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</w:p>
    <w:p w:rsidR="006A4DE7" w:rsidRPr="006A4DE7" w:rsidRDefault="006A4DE7" w:rsidP="006A4DE7">
      <w:pPr>
        <w:spacing w:after="120" w:line="240" w:lineRule="auto"/>
        <w:ind w:firstLine="709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6A4DE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Напомняме върховенството на Природните  Закони, произтичащите от тях закономерности, включително и в съществуването единствено на мъжки и женски пол, взаимоотношенията единствено на мъжки със женски пол за съществуването на биологичния вид, както и безкомпромисните закономерности за тайно или явно вмешателство и манипулиране, за всяко действие или бездействие.</w:t>
      </w:r>
      <w:r w:rsidR="0014248F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 </w:t>
      </w:r>
      <w:r w:rsidRPr="006A4DE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Непознаването на тези Закони, оправданията за действане или бездействие под заплаха и изпълняване на заповед, не са смекчаващи вината обстоятелства! Всеки един служител, от най-високо</w:t>
      </w:r>
      <w:r w:rsidR="0014248F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то до</w:t>
      </w:r>
      <w:r w:rsidRPr="006A4DE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 най-ниско</w:t>
      </w:r>
      <w:r w:rsidR="0014248F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то</w:t>
      </w:r>
      <w:r w:rsidRPr="006A4DE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 ниво в структурата на МОН и МЗ, носи лична</w:t>
      </w:r>
      <w:r w:rsidR="0014248F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 отговорност</w:t>
      </w:r>
      <w:r w:rsidR="00BA0B01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 </w:t>
      </w:r>
      <w:r w:rsidR="0014248F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 съобразно действията си</w:t>
      </w:r>
      <w:r w:rsidR="00BA0B01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.</w:t>
      </w:r>
      <w:r w:rsidRPr="006A4DE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 </w:t>
      </w:r>
    </w:p>
    <w:p w:rsidR="00ED1637" w:rsidRPr="00ED1637" w:rsidRDefault="006A4DE7" w:rsidP="006A4DE7">
      <w:pPr>
        <w:spacing w:after="120" w:line="240" w:lineRule="auto"/>
        <w:ind w:firstLine="709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6A4DE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Значението на понятието „пол“ възприето в Конституцията, напълно съответства на духа, буквата, съдържанието и смисъла, възприети в чл. 8 от Конвенцията за защита на правата на човека и основните свободи и на чл. 7 от Хартата на основните права на Европейския съюз относно правото на зачитане на личния и семеен живот. Понятието „семеен живот“ предполага на първо място наличие на семейство, затова следва да се изясни същността на семейството, принципите на създаването му и целите му. Разбиранията ни за това са следните:</w:t>
      </w:r>
    </w:p>
    <w:p w:rsidR="001C2947" w:rsidRPr="001C2947" w:rsidRDefault="001C2947" w:rsidP="001C2947">
      <w:pPr>
        <w:numPr>
          <w:ilvl w:val="0"/>
          <w:numId w:val="5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1C294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В член 12 от КЗПЧОС е категорично казано че: „</w:t>
      </w:r>
      <w:r w:rsidRPr="001C2947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Мъжете и жените</w:t>
      </w:r>
      <w:r w:rsidRPr="001C294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, достигнали брачна възраст, имат право да встъпват в брак и да създават семейство в съответствие с националните закони, регулиращи упражняването на това право.“ Ясно и недвусмислено е заявено, че има само два пола – мъж и жена и те съвпадат с биологичните, а семейството се създава съобразно националните закони.</w:t>
      </w:r>
    </w:p>
    <w:p w:rsidR="001C2947" w:rsidRPr="001C2947" w:rsidRDefault="001C2947" w:rsidP="001C2947">
      <w:pPr>
        <w:numPr>
          <w:ilvl w:val="0"/>
          <w:numId w:val="5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1C294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Това е повторено и в Член 23 на Хартата на основните права на Европейския съюз: “Равенството между </w:t>
      </w:r>
      <w:r w:rsidRPr="001C2947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жените и мъжете</w:t>
      </w:r>
      <w:r w:rsidRPr="001C294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 трябва да бъде гарантирано във всички области, включително заетостта, труда и възнаграждението. Принципът на равенството не пречи на запазването в действие или приемането на мерки, предвиждащи специфични предимства в полза на по-слабо представения пол.“</w:t>
      </w:r>
    </w:p>
    <w:p w:rsidR="001C2947" w:rsidRPr="001C2947" w:rsidRDefault="001C2947" w:rsidP="001C2947">
      <w:pPr>
        <w:numPr>
          <w:ilvl w:val="0"/>
          <w:numId w:val="5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1C294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А  чл. 24 прогласява: „Всяко дете има право да поддържа редовно лични отношения и преки контакти с </w:t>
      </w:r>
      <w:r w:rsidRPr="001C2947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двамата си родители</w:t>
      </w:r>
      <w:r w:rsidRPr="001C294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, освен когато това е против неговия интерес.“ Видно е, че извън двата физиологично определени пола – мъжки и женски няма други, дори и в двата основополагащи международни документа.</w:t>
      </w:r>
    </w:p>
    <w:p w:rsidR="001C2947" w:rsidRPr="001C2947" w:rsidRDefault="001C2947" w:rsidP="001C2947">
      <w:pPr>
        <w:numPr>
          <w:ilvl w:val="0"/>
          <w:numId w:val="5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1C294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Съблюдаването на човешките права закрепени и разширени в Хартата има за цел продължаване и увековечаване на човешкия род. Това е прогласено още в преамбюла на Хартата: „Ползването от тези права поражда отговорности и задължения, както спрямо другите, така и спрямо </w:t>
      </w:r>
      <w:r w:rsidRPr="001C2947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човешката общност и бъдещите поколения.“</w:t>
      </w:r>
    </w:p>
    <w:p w:rsidR="001C2947" w:rsidRPr="001C2947" w:rsidRDefault="001C2947" w:rsidP="001C2947">
      <w:pPr>
        <w:numPr>
          <w:ilvl w:val="0"/>
          <w:numId w:val="5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1C2947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Продължаването на човешкия род е възможно единствено с полово взаимоотношение между мъж и жена и по никакъв друг начин.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Във връзка с гореизложените правни аргументи относно половете, следва да изясним и същността на семейството, принципите на създаването му и целите му.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Целите на създаване на семейството са ясни и самоочевидни – </w:t>
      </w:r>
      <w:r w:rsidRPr="00EE6DD4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продължаване на човешкия род чрез възпроизводство на поколенията</w:t>
      </w: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. Доколкото в чл. 13. (3) от Конституцията е прогласено: „Традиционна религия в Република България е източноправославното вероизповедание.“, напомняме, че върху основата на християнските ценности, морал и разбирания, са установени българските национално-държавни,  културно-обществени и семейно-родови традиции. Затова ще цитираме и Библията в нейното православно синодално издание. На първо място там е казано: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 “ 27. И сътвори Бог човека по Свой образ, по Божий образ го сътвори; </w:t>
      </w:r>
      <w:r w:rsidRPr="00EE6DD4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мъж и жена ги сътвори.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28. И благослови ги Бог, като им рече: </w:t>
      </w:r>
      <w:r w:rsidRPr="00EE6DD4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плодете се и множете се, пълнете земята</w:t>
      </w: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 и обладайте я и господарувайте над морските риби (и над зверовете), над небесните птици (и над всякакъв добитък, над цялата земя) и над всякакви животни, които пълзят по земята.“ (Битие 1:27-28)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Видно е, че Творецът е създал човешкия род, като единство от два биологични пола – </w:t>
      </w:r>
      <w:r w:rsidRPr="00EE6DD4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мъж и жена</w:t>
      </w: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, равносъздадени, равностойни, равноправни, равнопоставени, взаимно-допълняеми и взаимно-зависими, по Негов Образ и Подобие. Тоест от гореизложените от нас  правни аргументи от Хартата и Конвенцията за основните човешки права. (т. 1 и т. 2) е ясно, че там са повторени християнските принципи.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На второ място, целта на двата пола на човешкия род съгласно Библията е чрез интимното взаимоотношение между тях, да се възпроизвежда човешкият род и да се засели земята, което е споменато и в преамбюла на Хартата, както цитирахме по-горе.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На трето място, в Библията еднозначно е определено какво е семейството – брак между мъж и жена: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Споменато в: „24. Затова ще остави човек баща си и майка си и ще се прилепи към жена си; и ще бъдат (двамата) една плът.“ (Битие 2:24)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също и: “4. Бракът е нещо честно у всички, и брачното легло - чисто; а блудниците и прелюбодейците ще съди Бог.“ (Евреи 13:4).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Отново и в: “3. Мъжът да отдава на жена си дължимата любов; също и жената - на мъжа. 4. Жената не е господарка на тялото си, а мъжът; също и мъжът не е господар на тялото си, а жената. 5. Недейте се лишава един от други - освен по съгласие за някое време, за да пребъдвате в пост и молитва; след това бъдете си пак заедно, за да ви не изкушава сатаната, поради вашето невъздържане. (I Коринтяни 7:3-5)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Както и в: „28. Тъй са длъжни мъжете да обичат жените си, както обичат телата си: който обича жена си, себе си обича.“ (</w:t>
      </w:r>
      <w:proofErr w:type="spellStart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Ефесяни</w:t>
      </w:r>
      <w:proofErr w:type="spellEnd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 5:28)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Видно е от гореизложеното, че тъкмо в духа на православно-християнските ни народностни традиции, нашата Конституция прогласява: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„Чл. 46. (1) Бракът е доброволен съюз между мъж и жена. Законен е само гражданският брак.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(2) Съпрузите имат равни права и задължения в брака и семейството.“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Всички тези религиозно-културни и правни аргументи ясно и недвусмислено постулират, че:</w:t>
      </w:r>
    </w:p>
    <w:p w:rsidR="00EE6DD4" w:rsidRPr="00EE6DD4" w:rsidRDefault="00EE6DD4" w:rsidP="00EE6DD4">
      <w:pPr>
        <w:numPr>
          <w:ilvl w:val="0"/>
          <w:numId w:val="6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Целта на човешкия род е неговото постоянно възпроизводство и увеличение.</w:t>
      </w:r>
    </w:p>
    <w:p w:rsidR="00EE6DD4" w:rsidRPr="00EE6DD4" w:rsidRDefault="00EE6DD4" w:rsidP="00EE6DD4">
      <w:pPr>
        <w:numPr>
          <w:ilvl w:val="0"/>
          <w:numId w:val="6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Това става единствено чрез интимните взаимоотношения между двата физиологично предопределени пола, само и единствено между мъж и жена, предопределени биологично при раждането на човека, което е самоочевидно и няма нужда от обосновка.</w:t>
      </w:r>
    </w:p>
    <w:p w:rsidR="00EE6DD4" w:rsidRPr="00EE6DD4" w:rsidRDefault="00EE6DD4" w:rsidP="00EE6DD4">
      <w:pPr>
        <w:numPr>
          <w:ilvl w:val="0"/>
          <w:numId w:val="6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Формата за осъществяване на половите взаимоотношения с цел възпроизводство на поколение е моногамното семейство – доброволен брачен съюз на мъж и жена, съобразно християнската - българска и европейска религиозно-морална и културно-историческа традиция.</w:t>
      </w:r>
    </w:p>
    <w:p w:rsidR="00EE6DD4" w:rsidRPr="00EE6DD4" w:rsidRDefault="00EE6DD4" w:rsidP="00EE6DD4">
      <w:pPr>
        <w:numPr>
          <w:ilvl w:val="0"/>
          <w:numId w:val="6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Тази форма на брак и отношения между мъжа и жената е поставена в основите на българската Конституция и законодателство.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Казано накратко, единствено благословеният от Господ Бог свещен брак между мъж и жена, свързани от чиста любов и създаващи своите деца в щастие, мир и съгласие, е начинът да бъде продължен човешкият род. Друг не съществува. Следователно понятието „пол“ е биологично предопределено и еднозначно съвпадащо с духовното, душевното, психологическо, морално, обществено и юридическо такова. Всякакви опити по идеологически, политически или юридически път, да бъде разкъсано това стабилно, устойчиво, съгласувано, съвместимо, непротиворечиво единство на понятието, представляват отклонения от нормалността, противоестествени, антиприродни, античовешки и Богу противни действия. А семейството се създава единствено между мъж и жена.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Цялата джендър идеология, агресивно натрапвана в България от задкулисни играчи, международни организации без всякаква изборна легитимност, чужди правителства, нестопански организации, финансирани от съмнителни субекти и фирми, противоречи на нормалността, природното естество на нещата, руши Божиите, природни и човешки закони, естествените дадености и обществените устои.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Джендър идеологията, прокламираща безумните над „80 избираеми пола“, се опитва да прокарва дълбоко антинаучните постулати, че полът не бил биологически определен, а бил „обществена конструкция“ и „личен избор“. Съответно, представителите на тази идеология воюват с Твореца и нормалността, като вкарват в идеологически, политически, психологически и интелектуален и физиологичен капан, неукрепналите души на децата, заблудени хора и уязвими групи от населението, като им предлагат „спасение“, изразяващо се в „избор на пол“ или „смяна на пола“, което представлява престъпление според международните конвенции и българското законодателство.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Крайната фаза на потъването в джендъризма е смяната на пола на мъжете и жените, което във всички случаи означава тежка телесна повреда, инвалидизиране, безплодие, кастрация и стерилизация, доживотни здравословни проблеми, психическо увреждане, а често пъти и самоубийство или друга смърт, поради дълбоката увреда на здравето.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Нито един мъж или жена, „сменили пола си“, не могат да създадат или родят деца, това намалява броя на семействата и децата, които биха могли да се създадат, създава нещастни хора, руши обществото и намалява числеността на нацията, което закономерно води до демографска катастрофа.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Такова развитие на нещата представлява скрит, злонамерен и бавен геноцид.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Напомняме, че има международна Конвенция за предотвратяване и наказване на престъплението геноцид приета от Общото събрание на ООН на 9 декември 1948 г. с резолюция 260 А (III), която е Ратифицирана от България с Указ № 300 на Президиума на НС от 23 юни 1950 г. – ДВ, бр. 153 от 1950 г. и влиза в сила за България от 12 януари 1951 г., чийто член II гласи следното: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i/>
          <w:iCs/>
          <w:color w:val="000000"/>
          <w:kern w:val="0"/>
          <w:sz w:val="28"/>
          <w:szCs w:val="28"/>
          <w:lang w:eastAsia="bg-BG" w:bidi="bg-BG"/>
          <w14:ligatures w14:val="none"/>
        </w:rPr>
        <w:t>„В тази конвенция геноцид е всяко от следните действия, извършени с намерение да бъде унищожена изцяло или отчасти една национална, етническа, расова или религиозна група като такава: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b) </w:t>
      </w:r>
      <w:r w:rsidRPr="00EE6DD4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причиняване на тежки телесни или душевни повреди на членове на групата;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i/>
          <w:iCs/>
          <w:color w:val="000000"/>
          <w:kern w:val="0"/>
          <w:sz w:val="28"/>
          <w:szCs w:val="28"/>
          <w:lang w:eastAsia="bg-BG" w:bidi="bg-BG"/>
          <w14:ligatures w14:val="none"/>
        </w:rPr>
        <w:t xml:space="preserve">d) </w:t>
      </w:r>
      <w:r w:rsidRPr="00EE6DD4">
        <w:rPr>
          <w:rFonts w:eastAsia="Calibri" w:cstheme="minorHAnsi"/>
          <w:b/>
          <w:bCs/>
          <w:i/>
          <w:iCs/>
          <w:color w:val="000000"/>
          <w:kern w:val="0"/>
          <w:sz w:val="28"/>
          <w:szCs w:val="28"/>
          <w:lang w:eastAsia="bg-BG" w:bidi="bg-BG"/>
          <w14:ligatures w14:val="none"/>
        </w:rPr>
        <w:t>налагане на мерки за предотвратяване на ражданията в групата;“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„ЛГБТИ обученията“ на учители и деца и всякакви други дейности под благовидното название „ЛГБТИ култура и образование“, и демонстративните ежегодни </w:t>
      </w:r>
      <w:proofErr w:type="spellStart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прайдове</w:t>
      </w:r>
      <w:proofErr w:type="spellEnd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, прилагат методи за внушение, за да подтикнат подрастващите, че е забавно и възможно да променят безвредно пола си. Увреждането обаче, след хормонална, а впоследствие и оперативна намеса е завинаги и води до невъзможност за възпроизводство, до прекратяване детеродните възможности и у мъжа, и у жената, които си сменят пола. Освен това  и до психично разстройство на личността. Следователно, трайно физическо и психическо увреждане! </w:t>
      </w:r>
      <w:r w:rsidRPr="00EE6DD4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Действията на такива организации, фондации и прочие общности, представляват психологическо и физическо насилие над непълнолетни, малолетни, както и сред възрастни.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Също и в българския Наказателен кодекс е казано: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чл. 128. (1): </w:t>
      </w:r>
      <w:r w:rsidRPr="00EE6DD4">
        <w:rPr>
          <w:rFonts w:eastAsia="Calibri" w:cstheme="minorHAnsi"/>
          <w:i/>
          <w:iCs/>
          <w:color w:val="000000"/>
          <w:kern w:val="0"/>
          <w:sz w:val="28"/>
          <w:szCs w:val="28"/>
          <w:lang w:eastAsia="bg-BG" w:bidi="bg-BG"/>
          <w14:ligatures w14:val="none"/>
        </w:rPr>
        <w:t xml:space="preserve">Който причини другиму тежка телесна повреда се наказва с лишаване от свобода от три до десет години. (2) </w:t>
      </w:r>
      <w:r w:rsidRPr="00EE6DD4">
        <w:rPr>
          <w:rFonts w:eastAsia="Calibri" w:cstheme="minorHAnsi"/>
          <w:b/>
          <w:bCs/>
          <w:i/>
          <w:iCs/>
          <w:color w:val="000000"/>
          <w:kern w:val="0"/>
          <w:sz w:val="28"/>
          <w:szCs w:val="28"/>
          <w:lang w:eastAsia="bg-BG" w:bidi="bg-BG"/>
          <w14:ligatures w14:val="none"/>
        </w:rPr>
        <w:t>Телесната повреда е тежка</w:t>
      </w:r>
      <w:r w:rsidRPr="00EE6DD4">
        <w:rPr>
          <w:rFonts w:eastAsia="Calibri" w:cstheme="minorHAnsi"/>
          <w:i/>
          <w:iCs/>
          <w:color w:val="000000"/>
          <w:kern w:val="0"/>
          <w:sz w:val="28"/>
          <w:szCs w:val="28"/>
          <w:lang w:eastAsia="bg-BG" w:bidi="bg-BG"/>
          <w14:ligatures w14:val="none"/>
        </w:rPr>
        <w:t xml:space="preserve">, ако е причинено: …… </w:t>
      </w:r>
      <w:r w:rsidRPr="00EE6DD4">
        <w:rPr>
          <w:rFonts w:eastAsia="Calibri" w:cstheme="minorHAnsi"/>
          <w:b/>
          <w:bCs/>
          <w:i/>
          <w:iCs/>
          <w:color w:val="000000"/>
          <w:kern w:val="0"/>
          <w:sz w:val="28"/>
          <w:szCs w:val="28"/>
          <w:lang w:eastAsia="bg-BG" w:bidi="bg-BG"/>
          <w14:ligatures w14:val="none"/>
        </w:rPr>
        <w:t>детеродна неспособност;</w:t>
      </w:r>
      <w:r w:rsidRPr="00EE6DD4">
        <w:rPr>
          <w:rFonts w:eastAsia="Calibri" w:cstheme="minorHAnsi"/>
          <w:i/>
          <w:iCs/>
          <w:color w:val="000000"/>
          <w:kern w:val="0"/>
          <w:sz w:val="28"/>
          <w:szCs w:val="28"/>
          <w:lang w:eastAsia="bg-BG" w:bidi="bg-BG"/>
          <w14:ligatures w14:val="none"/>
        </w:rPr>
        <w:t xml:space="preserve"> …. постоянно общо разстройство на здравето, опасно за живота.“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Чл. 416</w:t>
      </w:r>
      <w:r w:rsidRPr="00EE6DD4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.</w:t>
      </w: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 (1) Който с цел да унищожи изцяло или отчасти определена национална, етническа, расова или религиозна група: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а) причини смърт, тежка телесна повреда или постоянно разстройство на съзнанието на лице, принадлежащо към такава група;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в) предприема мерки, насочени към възпрепятствуване раждаемостта сред такава група;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се наказва за геноцид с лишаване от свобода от десет до двадесет години или с доживотен затвор без замяна.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По тези членове от НК могат да бъдат подведени под отговорност и всички лекари  и лечебни заведения правещи операции за смяна на пола.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Забраната на ЛГБТИП пропагандата, чрез законова поправка приета от Народното събрание е напълно правомерно действие и не противоречи на никакви международни спогодби доколкото:</w:t>
      </w:r>
    </w:p>
    <w:p w:rsidR="00EE6DD4" w:rsidRPr="00EE6DD4" w:rsidRDefault="00EE6DD4" w:rsidP="00EE6DD4">
      <w:pPr>
        <w:numPr>
          <w:ilvl w:val="0"/>
          <w:numId w:val="7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Хартата на основните права на Европейския съюз признава в своя чл. 52 т. 1. правото на отделните държави да  ограничават упражняването на правата и свободите признати от нея в национален закон.</w:t>
      </w:r>
    </w:p>
    <w:p w:rsidR="00EE6DD4" w:rsidRPr="00EE6DD4" w:rsidRDefault="00EE6DD4" w:rsidP="00EE6DD4">
      <w:pPr>
        <w:numPr>
          <w:ilvl w:val="0"/>
          <w:numId w:val="7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Пак там в т. 4. Хартата признава основни права, които произтичат от общите за държавите-членки конституционните традиции, и постановява, че тези </w:t>
      </w:r>
      <w:r w:rsidRPr="00EE6DD4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права трябва да бъдат тълкувани в хармония с тези традиции.</w:t>
      </w: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 Това е допълнено и доразвито в т. 6. постулираща, че националните законодателства и практики трябва да бъдат взети предвид в тяхната цялост, както е посочено в нея. Следователно изтъкнатите от нас по-горе християнски и национални – морални традиции имат предимство при евентуални тълкувания.</w:t>
      </w:r>
    </w:p>
    <w:p w:rsidR="00EE6DD4" w:rsidRPr="00EE6DD4" w:rsidRDefault="00EE6DD4" w:rsidP="00EE6DD4">
      <w:pPr>
        <w:numPr>
          <w:ilvl w:val="0"/>
          <w:numId w:val="7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В член 54 на Хартата е забранена злоупотребата с право, като никоя от разпоредбите й не трябва да се тълкува като даваща право да се извършва дейност или действие, които имат за цел погазване на признати в нея права или свободи, или да се ограничават правата и свободите в по-голяма степен от предвидената в нея.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Въз основа на гореизложените аргументи ние изискваме:</w:t>
      </w:r>
    </w:p>
    <w:p w:rsidR="00EE6DD4" w:rsidRPr="00EE6DD4" w:rsidRDefault="00EE6DD4" w:rsidP="00EE6DD4">
      <w:pPr>
        <w:numPr>
          <w:ilvl w:val="0"/>
          <w:numId w:val="8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Незабавно да бъдат прекратени пропагандата, агитацията и рекламирането на противоестествените, античовешки и антибожествени, дълбоко ненаучни джендър идеологически твърдения за „наличието на повече от два биологични пола“, възможностите за „избор или смяна на пола“, които са типична проява на явни психични отклонения и/или злонамерени действия, насочени срещу психичното и физическо здраве на децата, с крайна цел увреждане на детеродните им способности.</w:t>
      </w:r>
    </w:p>
    <w:p w:rsidR="00EE6DD4" w:rsidRPr="00EE6DD4" w:rsidRDefault="00EE6DD4" w:rsidP="00EE6DD4">
      <w:pPr>
        <w:numPr>
          <w:ilvl w:val="0"/>
          <w:numId w:val="8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Веднага да бъдат прекратени всички и всякакви договори, споразумения, съглашения и други подобни, между  МЗ, РЗИ, МОН, РУО и учебните заведения с български или чуждестранни неправителствени организации, институции, фондове и други, които прокарват такава джендър идеология.</w:t>
      </w:r>
    </w:p>
    <w:p w:rsidR="00EE6DD4" w:rsidRPr="00EE6DD4" w:rsidRDefault="00EE6DD4" w:rsidP="00EE6DD4">
      <w:pPr>
        <w:numPr>
          <w:ilvl w:val="0"/>
          <w:numId w:val="8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МОН и МЗ да отстранят от всички свои консултативни съвети и други подобни органи представителите на всякакви нестопански организации, прокарващи или защитаващи джендър идеологеми и да прекратят участието си във всякакви съвместни мероприятия или събития с тях.</w:t>
      </w:r>
    </w:p>
    <w:p w:rsidR="00EE6DD4" w:rsidRPr="00EE6DD4" w:rsidRDefault="00EE6DD4" w:rsidP="00EE6DD4">
      <w:pPr>
        <w:numPr>
          <w:ilvl w:val="0"/>
          <w:numId w:val="8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Да бъдат предупредени всички учители, психолози и други служители в МОН, РУО или учебните заведения, които прокарват такава идеология и пропаганда в местоработата си и/или получават финансиране по такива програми/проекти от нестопански организации, институции, фирми, фондове и други такива за да прокарват джендър идеологията, че това е недопустимо и при подобни прояви да бъдат отстранявани от образователната система.</w:t>
      </w:r>
    </w:p>
    <w:p w:rsidR="00EE6DD4" w:rsidRPr="00EE6DD4" w:rsidRDefault="00EE6DD4" w:rsidP="00EE6DD4">
      <w:pPr>
        <w:numPr>
          <w:ilvl w:val="0"/>
          <w:numId w:val="8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Да бъдат изхвърлени от употреба всички учебници и други учебни помагала, прокламиращи неща различни от двата биологични пола, и хетеросексуалното взаимодействие между тях или прокарващи извращенията, перверзиите и содомиите на „многото полове“, „избора на пол“, различните сексуални извращения като хомосексуализъм, педофилия, </w:t>
      </w:r>
      <w:proofErr w:type="spellStart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зоофилия</w:t>
      </w:r>
      <w:proofErr w:type="spellEnd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, </w:t>
      </w:r>
      <w:proofErr w:type="spellStart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некрофилия</w:t>
      </w:r>
      <w:proofErr w:type="spellEnd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, </w:t>
      </w:r>
      <w:proofErr w:type="spellStart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геронтофилия</w:t>
      </w:r>
      <w:proofErr w:type="spellEnd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, </w:t>
      </w:r>
      <w:proofErr w:type="spellStart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копрофилия</w:t>
      </w:r>
      <w:proofErr w:type="spellEnd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, </w:t>
      </w:r>
      <w:proofErr w:type="spellStart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копрофагия</w:t>
      </w:r>
      <w:proofErr w:type="spellEnd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, </w:t>
      </w:r>
      <w:proofErr w:type="spellStart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копропраксия</w:t>
      </w:r>
      <w:proofErr w:type="spellEnd"/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 и всякакви други психични отклонения и полови перверзии.</w:t>
      </w:r>
    </w:p>
    <w:p w:rsidR="00EE6DD4" w:rsidRPr="00EE6DD4" w:rsidRDefault="00EE6DD4" w:rsidP="00EE6DD4">
      <w:pPr>
        <w:numPr>
          <w:ilvl w:val="0"/>
          <w:numId w:val="8"/>
        </w:num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Да бъдат отнети правата на лекарите или лицензите на лечебните заведения осъществяващи престъплението „тежка телесна повреда“, чрез измамните лекарствени и хирургически практики на „смяна на пола“.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Накрая напомняме, че нормалността създадена от Твореца, предвижда свещен, благословен от Бога брак между мъж и жена, създаващи и отглеждащи своите деца в любов, мир, разбирателство и грижовност.</w:t>
      </w:r>
    </w:p>
    <w:p w:rsidR="00EE6DD4" w:rsidRP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Всякакви други различни от това „семейни“, сексуални и други практики, представляват психични отклонения, сексуални извращения, содомии, перверзии и други гибелни за човека и обществото увреждания и заболявания, които следва да бъдат лекувани.</w:t>
      </w:r>
    </w:p>
    <w:p w:rsid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Обявяваме, че ще държим отговорни всички длъжностни лица в системата на образованието, здравеопазването, медиите и в други институции, които воюват с нормалността и с действия или бездействия вредят на младите поколения, разрушават основната клетка на обществото – семейството, прокарват волно или неволно геноцид на българската нация, независимо дали са продажници, получаващи финансиране за тези си престъпления или просто са умствено или психично увредени дегенерати, считащи перверзията за нормалност.</w:t>
      </w:r>
      <w:r w:rsidR="004E5906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 На тях им заявяваме:</w:t>
      </w:r>
    </w:p>
    <w:p w:rsidR="004E5906" w:rsidRPr="004E5906" w:rsidRDefault="004E5906" w:rsidP="00EE6DD4">
      <w:pPr>
        <w:spacing w:after="120" w:line="240" w:lineRule="auto"/>
        <w:jc w:val="both"/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4E5906">
        <w:rPr>
          <w:rFonts w:eastAsia="Calibri" w:cstheme="minorHAnsi"/>
          <w:b/>
          <w:bCs/>
          <w:i/>
          <w:iCs/>
          <w:color w:val="000000"/>
          <w:kern w:val="0"/>
          <w:sz w:val="28"/>
          <w:szCs w:val="28"/>
          <w:lang w:eastAsia="bg-BG" w:bidi="bg-BG"/>
          <w14:ligatures w14:val="none"/>
        </w:rPr>
        <w:t>„</w:t>
      </w:r>
      <w:r w:rsidRPr="004E5906">
        <w:rPr>
          <w:rFonts w:eastAsia="Calibri" w:cstheme="minorHAnsi"/>
          <w:b/>
          <w:bCs/>
          <w:i/>
          <w:iCs/>
          <w:color w:val="000000"/>
          <w:kern w:val="0"/>
          <w:sz w:val="28"/>
          <w:szCs w:val="28"/>
          <w:lang w:eastAsia="bg-BG" w:bidi="bg-BG"/>
          <w14:ligatures w14:val="none"/>
        </w:rPr>
        <w:t>Ваш баща е дяволът; и вие искате да изпълнявате похотите на баща си. Той си беше открай човекоубиец и не устоя в истината, понеже в него няма истина. Кога говори лъжа, своето говори, защото е лъжец и баща на лъжата"</w:t>
      </w:r>
      <w:r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 xml:space="preserve"> </w:t>
      </w:r>
      <w:r w:rsidRPr="004E5906">
        <w:rPr>
          <w:rFonts w:eastAsia="Calibri" w:cstheme="minorHAnsi"/>
          <w:b/>
          <w:bCs/>
          <w:color w:val="000000"/>
          <w:kern w:val="0"/>
          <w:sz w:val="28"/>
          <w:szCs w:val="28"/>
          <w:lang w:eastAsia="bg-BG" w:bidi="bg-BG"/>
          <w14:ligatures w14:val="none"/>
        </w:rPr>
        <w:t>Йоан 8:44</w:t>
      </w:r>
    </w:p>
    <w:p w:rsidR="00EE6DD4" w:rsidRDefault="00EE6DD4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  <w:r w:rsidRPr="00EE6DD4"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  <w:t>Ще следим внимателно поведението и действията им и ще използваме цялата мощ на гражданското общество, държавния апарат и съдебната система, за да отстраним в зародиш всички античовешки, антиприродни, антибожествени и антибългарски действия и проявления на лица, организации и институции.</w:t>
      </w:r>
    </w:p>
    <w:p w:rsidR="00CD65E9" w:rsidRPr="00EE6DD4" w:rsidRDefault="00CD65E9" w:rsidP="00EE6DD4">
      <w:pPr>
        <w:spacing w:after="120" w:line="240" w:lineRule="auto"/>
        <w:jc w:val="both"/>
        <w:rPr>
          <w:rFonts w:eastAsia="Calibri" w:cstheme="minorHAnsi"/>
          <w:color w:val="000000"/>
          <w:kern w:val="0"/>
          <w:sz w:val="28"/>
          <w:szCs w:val="28"/>
          <w:lang w:eastAsia="bg-BG" w:bidi="bg-BG"/>
          <w14:ligatures w14:val="none"/>
        </w:rPr>
      </w:pPr>
    </w:p>
    <w:p w:rsidR="00ED1637" w:rsidRPr="00ED1637" w:rsidRDefault="006723A3" w:rsidP="00ED1637">
      <w:pPr>
        <w:spacing w:after="120" w:line="240" w:lineRule="auto"/>
        <w:jc w:val="both"/>
        <w:rPr>
          <w:rFonts w:eastAsia="Arial" w:cstheme="minorHAnsi"/>
          <w:color w:val="050505"/>
          <w:kern w:val="0"/>
          <w:sz w:val="28"/>
          <w:szCs w:val="28"/>
          <w:shd w:val="clear" w:color="auto" w:fill="FFFFFF"/>
          <w:lang w:eastAsia="bg-BG" w:bidi="bg-BG"/>
          <w14:ligatures w14:val="none"/>
        </w:rPr>
      </w:pPr>
      <w:r>
        <w:rPr>
          <w:rFonts w:eastAsia="Arial" w:cstheme="minorHAnsi"/>
          <w:color w:val="050505"/>
          <w:kern w:val="0"/>
          <w:sz w:val="28"/>
          <w:szCs w:val="28"/>
          <w:shd w:val="clear" w:color="auto" w:fill="FFFFFF"/>
          <w:lang w:eastAsia="bg-BG" w:bidi="bg-BG"/>
          <w14:ligatures w14:val="none"/>
        </w:rPr>
        <w:t>Дата ……………………</w:t>
      </w:r>
      <w:r w:rsidR="00ED1637" w:rsidRPr="00ED1637">
        <w:rPr>
          <w:rFonts w:eastAsia="Arial" w:cstheme="minorHAnsi"/>
          <w:color w:val="050505"/>
          <w:kern w:val="0"/>
          <w:sz w:val="28"/>
          <w:szCs w:val="28"/>
          <w:shd w:val="clear" w:color="auto" w:fill="FFFFFF"/>
          <w:lang w:eastAsia="bg-BG" w:bidi="bg-BG"/>
          <w14:ligatures w14:val="none"/>
        </w:rPr>
        <w:t>2024 г.</w:t>
      </w:r>
    </w:p>
    <w:p w:rsidR="00ED1637" w:rsidRDefault="00ED1637" w:rsidP="00ED1637">
      <w:pPr>
        <w:spacing w:after="120" w:line="240" w:lineRule="auto"/>
        <w:jc w:val="both"/>
        <w:rPr>
          <w:rFonts w:eastAsia="Arial" w:cstheme="minorHAnsi"/>
          <w:color w:val="050505"/>
          <w:kern w:val="0"/>
          <w:sz w:val="28"/>
          <w:szCs w:val="28"/>
          <w:shd w:val="clear" w:color="auto" w:fill="FFFFFF"/>
          <w:lang w:eastAsia="bg-BG" w:bidi="bg-BG"/>
          <w14:ligatures w14:val="none"/>
        </w:rPr>
      </w:pPr>
      <w:r w:rsidRPr="00ED1637">
        <w:rPr>
          <w:rFonts w:eastAsia="Arial" w:cstheme="minorHAnsi"/>
          <w:color w:val="050505"/>
          <w:kern w:val="0"/>
          <w:sz w:val="28"/>
          <w:szCs w:val="28"/>
          <w:shd w:val="clear" w:color="auto" w:fill="FFFFFF"/>
          <w:lang w:eastAsia="bg-BG" w:bidi="bg-BG"/>
          <w14:ligatures w14:val="none"/>
        </w:rPr>
        <w:t xml:space="preserve">Гр. </w:t>
      </w:r>
      <w:r w:rsidR="006723A3">
        <w:rPr>
          <w:rFonts w:eastAsia="Arial" w:cstheme="minorHAnsi"/>
          <w:color w:val="050505"/>
          <w:kern w:val="0"/>
          <w:sz w:val="28"/>
          <w:szCs w:val="28"/>
          <w:shd w:val="clear" w:color="auto" w:fill="FFFFFF"/>
          <w:lang w:eastAsia="bg-BG" w:bidi="bg-BG"/>
          <w14:ligatures w14:val="none"/>
        </w:rPr>
        <w:t>………………………………….</w:t>
      </w:r>
    </w:p>
    <w:p w:rsidR="006723A3" w:rsidRPr="00ED1637" w:rsidRDefault="006723A3" w:rsidP="00ED1637">
      <w:pPr>
        <w:spacing w:after="120" w:line="240" w:lineRule="auto"/>
        <w:jc w:val="both"/>
        <w:rPr>
          <w:rFonts w:eastAsia="Arial" w:cstheme="minorHAnsi"/>
          <w:color w:val="050505"/>
          <w:kern w:val="0"/>
          <w:sz w:val="28"/>
          <w:szCs w:val="28"/>
          <w:shd w:val="clear" w:color="auto" w:fill="FFFFFF"/>
          <w:lang w:eastAsia="bg-BG" w:bidi="bg-BG"/>
          <w14:ligatures w14:val="none"/>
        </w:rPr>
      </w:pPr>
    </w:p>
    <w:p w:rsidR="00ED1637" w:rsidRDefault="00ED1637" w:rsidP="00ED1637">
      <w:pPr>
        <w:spacing w:after="120" w:line="240" w:lineRule="auto"/>
        <w:ind w:left="1416"/>
        <w:jc w:val="both"/>
        <w:rPr>
          <w:rFonts w:eastAsia="Arial" w:cstheme="minorHAnsi"/>
          <w:color w:val="050505"/>
          <w:kern w:val="0"/>
          <w:sz w:val="28"/>
          <w:szCs w:val="28"/>
          <w:shd w:val="clear" w:color="auto" w:fill="FFFFFF"/>
          <w:lang w:eastAsia="bg-BG" w:bidi="bg-BG"/>
          <w14:ligatures w14:val="none"/>
        </w:rPr>
      </w:pPr>
      <w:r w:rsidRPr="00ED1637">
        <w:rPr>
          <w:rFonts w:eastAsia="Arial" w:cstheme="minorHAnsi"/>
          <w:color w:val="050505"/>
          <w:kern w:val="0"/>
          <w:sz w:val="28"/>
          <w:szCs w:val="28"/>
          <w:shd w:val="clear" w:color="auto" w:fill="FFFFFF"/>
          <w:lang w:eastAsia="bg-BG" w:bidi="bg-BG"/>
          <w14:ligatures w14:val="none"/>
        </w:rPr>
        <w:t>Подписали:</w:t>
      </w:r>
    </w:p>
    <w:p w:rsidR="006723A3" w:rsidRPr="00ED1637" w:rsidRDefault="006723A3" w:rsidP="00ED1637">
      <w:pPr>
        <w:spacing w:after="120" w:line="240" w:lineRule="auto"/>
        <w:ind w:left="1416"/>
        <w:jc w:val="both"/>
        <w:rPr>
          <w:rFonts w:eastAsia="Arial" w:cstheme="minorHAnsi"/>
          <w:color w:val="050505"/>
          <w:kern w:val="0"/>
          <w:sz w:val="28"/>
          <w:szCs w:val="28"/>
          <w:shd w:val="clear" w:color="auto" w:fill="FFFFFF"/>
          <w:lang w:eastAsia="bg-BG" w:bidi="bg-BG"/>
          <w14:ligatures w14:val="none"/>
        </w:rPr>
      </w:pPr>
      <w:r>
        <w:rPr>
          <w:rFonts w:eastAsia="Arial" w:cstheme="minorHAnsi"/>
          <w:color w:val="050505"/>
          <w:kern w:val="0"/>
          <w:sz w:val="28"/>
          <w:szCs w:val="28"/>
          <w:shd w:val="clear" w:color="auto" w:fill="FFFFFF"/>
          <w:lang w:eastAsia="bg-BG" w:bidi="bg-BG"/>
          <w14:ligatures w14:val="none"/>
        </w:rPr>
        <w:t>…………………………………………….</w:t>
      </w:r>
    </w:p>
    <w:p w:rsidR="00ED1637" w:rsidRPr="00ED1637" w:rsidRDefault="00ED1637" w:rsidP="00ED1637">
      <w:pPr>
        <w:spacing w:after="120" w:line="240" w:lineRule="auto"/>
        <w:ind w:left="1416"/>
        <w:jc w:val="both"/>
        <w:rPr>
          <w:rFonts w:eastAsia="Arial" w:cstheme="minorHAnsi"/>
          <w:color w:val="050505"/>
          <w:kern w:val="0"/>
          <w:sz w:val="28"/>
          <w:szCs w:val="28"/>
          <w:shd w:val="clear" w:color="auto" w:fill="FFFFFF"/>
          <w:lang w:eastAsia="bg-BG" w:bidi="bg-BG"/>
          <w14:ligatures w14:val="none"/>
        </w:rPr>
      </w:pPr>
    </w:p>
    <w:p w:rsidR="00494D1E" w:rsidRDefault="00494D1E"/>
    <w:sectPr w:rsidR="00494D1E" w:rsidSect="002E6EB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1418" w:header="709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3E8A" w:rsidRDefault="00583E8A" w:rsidP="0037294D">
      <w:pPr>
        <w:spacing w:after="0" w:line="240" w:lineRule="auto"/>
      </w:pPr>
      <w:r>
        <w:separator/>
      </w:r>
    </w:p>
  </w:endnote>
  <w:endnote w:type="continuationSeparator" w:id="0">
    <w:p w:rsidR="00583E8A" w:rsidRDefault="00583E8A" w:rsidP="0037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Unicode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2AEE" w:rsidRDefault="00000000">
    <w:pPr>
      <w:spacing w:after="0"/>
    </w:pPr>
    <w:r>
      <w:rPr>
        <w:color w:val="0563C1"/>
        <w:u w:val="single" w:color="0563C1"/>
      </w:rPr>
      <w:t>https://blogopisezhrabur.blogspot.com</w:t>
    </w:r>
    <w:r>
      <w:t xml:space="preserve"> </w:t>
    </w:r>
  </w:p>
  <w:p w:rsidR="002A2AEE" w:rsidRDefault="00000000">
    <w:pPr>
      <w:spacing w:after="0" w:line="237" w:lineRule="auto"/>
    </w:pPr>
    <w:r>
      <w:t xml:space="preserve">Ние сме воините на светлината. Отпечатай тази листовка или я свали от блога в електронен вид. Разпространи я и привлечи всички смели и честни българи на битка срещу сатанистите!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2AEE" w:rsidRDefault="002A2AEE">
    <w:pPr>
      <w:pStyle w:val="a5"/>
    </w:pPr>
  </w:p>
  <w:p w:rsidR="002A2AEE" w:rsidRDefault="002A2AEE">
    <w:pPr>
      <w:pStyle w:val="a5"/>
    </w:pPr>
  </w:p>
  <w:p w:rsidR="002A2AEE" w:rsidRPr="00367A89" w:rsidRDefault="002A2AEE" w:rsidP="003D4BBA">
    <w:pPr>
      <w:spacing w:after="0"/>
      <w:jc w:val="both"/>
      <w:rPr>
        <w:sz w:val="24"/>
        <w:szCs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2AEE" w:rsidRPr="006C7E34" w:rsidRDefault="00000000" w:rsidP="00F70906">
    <w:pPr>
      <w:spacing w:after="120"/>
      <w:jc w:val="both"/>
      <w:rPr>
        <w:rFonts w:cstheme="minorHAnsi"/>
        <w:b/>
        <w:bCs/>
        <w:sz w:val="28"/>
        <w:szCs w:val="28"/>
      </w:rPr>
    </w:pPr>
    <w:r>
      <w:rPr>
        <w:rFonts w:ascii="TimesNewRomanUnicode" w:eastAsiaTheme="minorEastAsia" w:hAnsi="TimesNewRomanUnicode" w:cs="TimesNewRomanUnicode"/>
        <w:b/>
        <w:bCs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27DDEFFC" wp14:editId="084C5890">
          <wp:simplePos x="0" y="0"/>
          <wp:positionH relativeFrom="column">
            <wp:posOffset>-25400</wp:posOffset>
          </wp:positionH>
          <wp:positionV relativeFrom="paragraph">
            <wp:posOffset>74295</wp:posOffset>
          </wp:positionV>
          <wp:extent cx="648000" cy="648000"/>
          <wp:effectExtent l="0" t="0" r="0" b="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A89">
      <w:rPr>
        <w:rFonts w:cstheme="minorHAnsi"/>
        <w:b/>
        <w:bCs/>
        <w:sz w:val="28"/>
        <w:szCs w:val="28"/>
      </w:rPr>
      <w:t>Национален Сбор за Съпротива „Свети Георги Победоносец</w:t>
    </w:r>
    <w:r>
      <w:rPr>
        <w:rFonts w:cstheme="minorHAnsi"/>
        <w:b/>
        <w:bCs/>
        <w:sz w:val="28"/>
        <w:szCs w:val="28"/>
      </w:rPr>
      <w:t>“</w:t>
    </w:r>
  </w:p>
  <w:p w:rsidR="002A2AEE" w:rsidRDefault="00000000" w:rsidP="00F70906">
    <w:pPr>
      <w:spacing w:after="120"/>
      <w:jc w:val="both"/>
      <w:rPr>
        <w:rStyle w:val="a7"/>
        <w:rFonts w:ascii="Arial" w:hAnsi="Arial" w:cs="Arial"/>
        <w:sz w:val="24"/>
        <w:szCs w:val="24"/>
        <w:shd w:val="clear" w:color="auto" w:fill="FFFFFF"/>
      </w:rPr>
    </w:pPr>
    <w:hyperlink r:id="rId2" w:history="1">
      <w:r w:rsidRPr="006C7E34">
        <w:rPr>
          <w:rStyle w:val="a7"/>
          <w:rFonts w:ascii="Arial" w:hAnsi="Arial" w:cs="Arial"/>
          <w:sz w:val="24"/>
          <w:szCs w:val="24"/>
          <w:shd w:val="clear" w:color="auto" w:fill="FFFFFF"/>
        </w:rPr>
        <w:t>nss_sveti_georgi_pobedonosets</w:t>
      </w:r>
      <w:r w:rsidRPr="006C7E34">
        <w:rPr>
          <w:rStyle w:val="a7"/>
          <w:rFonts w:ascii="Arial" w:hAnsi="Arial" w:cs="Arial"/>
          <w:sz w:val="24"/>
          <w:szCs w:val="24"/>
          <w:shd w:val="clear" w:color="auto" w:fill="FFFFFF"/>
          <w:lang w:val="en-US"/>
        </w:rPr>
        <w:t>@</w:t>
      </w:r>
      <w:r w:rsidRPr="006C7E34">
        <w:rPr>
          <w:rStyle w:val="a7"/>
          <w:rFonts w:ascii="Arial" w:hAnsi="Arial" w:cs="Arial"/>
          <w:sz w:val="24"/>
          <w:szCs w:val="24"/>
          <w:shd w:val="clear" w:color="auto" w:fill="FFFFFF"/>
        </w:rPr>
        <w:t>abv.bg</w:t>
      </w:r>
    </w:hyperlink>
    <w:r>
      <w:rPr>
        <w:rFonts w:ascii="Arial" w:hAnsi="Arial" w:cs="Arial"/>
        <w:b/>
        <w:bCs/>
        <w:color w:val="000000" w:themeColor="text1"/>
        <w:sz w:val="24"/>
        <w:szCs w:val="24"/>
        <w:shd w:val="clear" w:color="auto" w:fill="FFFFFF"/>
      </w:rPr>
      <w:t xml:space="preserve">            </w:t>
    </w:r>
    <w:r w:rsidRPr="00BD409A">
      <w:rPr>
        <w:rStyle w:val="a7"/>
        <w:rFonts w:ascii="Arial" w:hAnsi="Arial" w:cs="Arial"/>
        <w:sz w:val="24"/>
        <w:szCs w:val="24"/>
        <w:shd w:val="clear" w:color="auto" w:fill="FFFFFF"/>
      </w:rPr>
      <w:t>https://naorajie.blogspot.com/</w:t>
    </w:r>
  </w:p>
  <w:p w:rsidR="002A2AEE" w:rsidRDefault="00000000" w:rsidP="00F70906">
    <w:pPr>
      <w:spacing w:after="120"/>
      <w:jc w:val="both"/>
      <w:rPr>
        <w:rStyle w:val="a7"/>
        <w:rFonts w:ascii="Arial" w:hAnsi="Arial" w:cs="Arial"/>
        <w:sz w:val="24"/>
        <w:szCs w:val="24"/>
        <w:shd w:val="clear" w:color="auto" w:fill="FFFFFF"/>
      </w:rPr>
    </w:pPr>
    <w:r w:rsidRPr="00367A89">
      <w:rPr>
        <w:rStyle w:val="a7"/>
        <w:rFonts w:ascii="Arial" w:hAnsi="Arial" w:cs="Arial"/>
        <w:sz w:val="24"/>
        <w:szCs w:val="24"/>
        <w:shd w:val="clear" w:color="auto" w:fill="FFFFFF"/>
      </w:rPr>
      <w:t xml:space="preserve">https://blogopisezhrabur.blogspot.com  </w:t>
    </w:r>
    <w:r>
      <w:rPr>
        <w:rStyle w:val="a7"/>
        <w:rFonts w:ascii="Arial" w:hAnsi="Arial" w:cs="Arial"/>
        <w:sz w:val="24"/>
        <w:szCs w:val="24"/>
        <w:shd w:val="clear" w:color="auto" w:fill="FFFFFF"/>
      </w:rPr>
      <w:t xml:space="preserve">      </w:t>
    </w:r>
    <w:r w:rsidRPr="00367A89">
      <w:rPr>
        <w:rStyle w:val="a7"/>
        <w:rFonts w:ascii="Arial" w:hAnsi="Arial" w:cs="Arial"/>
        <w:sz w:val="24"/>
        <w:szCs w:val="24"/>
        <w:shd w:val="clear" w:color="auto" w:fill="FFFFFF"/>
      </w:rPr>
      <w:t xml:space="preserve"> </w:t>
    </w:r>
    <w:r>
      <w:rPr>
        <w:rStyle w:val="a7"/>
        <w:rFonts w:ascii="Arial" w:hAnsi="Arial" w:cs="Arial"/>
        <w:sz w:val="24"/>
        <w:szCs w:val="24"/>
        <w:shd w:val="clear" w:color="auto" w:fill="FFFFFF"/>
        <w:lang w:val="en-US"/>
      </w:rPr>
      <w:t xml:space="preserve">    </w:t>
    </w:r>
    <w:hyperlink r:id="rId3" w:history="1">
      <w:r w:rsidRPr="00150DCD">
        <w:rPr>
          <w:rStyle w:val="a7"/>
          <w:rFonts w:ascii="Arial" w:hAnsi="Arial" w:cs="Arial"/>
          <w:sz w:val="24"/>
          <w:szCs w:val="24"/>
          <w:shd w:val="clear" w:color="auto" w:fill="FFFFFF"/>
        </w:rPr>
        <w:t>http://stopnaplandemiata.bg.cm/</w:t>
      </w:r>
    </w:hyperlink>
  </w:p>
  <w:p w:rsidR="002A2AEE" w:rsidRDefault="002A2AEE" w:rsidP="00F70906">
    <w:pPr>
      <w:pStyle w:val="a5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3E8A" w:rsidRDefault="00583E8A" w:rsidP="0037294D">
      <w:pPr>
        <w:spacing w:after="0" w:line="240" w:lineRule="auto"/>
      </w:pPr>
      <w:r>
        <w:separator/>
      </w:r>
    </w:p>
  </w:footnote>
  <w:footnote w:type="continuationSeparator" w:id="0">
    <w:p w:rsidR="00583E8A" w:rsidRDefault="00583E8A" w:rsidP="0037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419" w:tblpY="714"/>
      <w:tblOverlap w:val="never"/>
      <w:tblW w:w="9016" w:type="dxa"/>
      <w:tblInd w:w="0" w:type="dxa"/>
      <w:tblCellMar>
        <w:top w:w="25" w:type="dxa"/>
        <w:left w:w="107" w:type="dxa"/>
        <w:right w:w="36" w:type="dxa"/>
      </w:tblCellMar>
      <w:tblLook w:val="04A0" w:firstRow="1" w:lastRow="0" w:firstColumn="1" w:lastColumn="0" w:noHBand="0" w:noVBand="1"/>
    </w:tblPr>
    <w:tblGrid>
      <w:gridCol w:w="1212"/>
      <w:gridCol w:w="7804"/>
    </w:tblGrid>
    <w:tr w:rsidR="00EF6885">
      <w:trPr>
        <w:trHeight w:val="440"/>
      </w:trPr>
      <w:tc>
        <w:tcPr>
          <w:tcW w:w="1212" w:type="dxa"/>
          <w:vMerge w:val="restart"/>
          <w:tcBorders>
            <w:top w:val="single" w:sz="5" w:space="0" w:color="000000"/>
            <w:left w:val="nil"/>
            <w:bottom w:val="single" w:sz="4" w:space="0" w:color="000000"/>
            <w:right w:val="single" w:sz="2" w:space="0" w:color="000000"/>
          </w:tcBorders>
          <w:vAlign w:val="bottom"/>
        </w:tcPr>
        <w:p w:rsidR="002A2AEE" w:rsidRDefault="00000000">
          <w:pPr>
            <w:jc w:val="right"/>
          </w:pPr>
          <w:r>
            <w:rPr>
              <w:noProof/>
            </w:rPr>
            <w:drawing>
              <wp:inline distT="0" distB="0" distL="0" distR="0" wp14:anchorId="007AAB0D" wp14:editId="7D00C472">
                <wp:extent cx="633095" cy="790639"/>
                <wp:effectExtent l="0" t="0" r="0" b="0"/>
                <wp:docPr id="22" name="Picture 10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5" name="Picture 10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095" cy="790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804" w:type="dxa"/>
          <w:tcBorders>
            <w:top w:val="single" w:sz="5" w:space="0" w:color="000000"/>
            <w:left w:val="single" w:sz="2" w:space="0" w:color="000000"/>
            <w:bottom w:val="single" w:sz="4" w:space="0" w:color="000000"/>
            <w:right w:val="nil"/>
          </w:tcBorders>
        </w:tcPr>
        <w:p w:rsidR="002A2AEE" w:rsidRDefault="00000000">
          <w:pPr>
            <w:ind w:right="74"/>
            <w:jc w:val="center"/>
          </w:pPr>
          <w:r>
            <w:rPr>
              <w:sz w:val="32"/>
            </w:rPr>
            <w:t xml:space="preserve">Национален Сбор за Съпротива  </w:t>
          </w:r>
        </w:p>
      </w:tc>
    </w:tr>
    <w:tr w:rsidR="00EF6885">
      <w:trPr>
        <w:trHeight w:val="44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2" w:space="0" w:color="000000"/>
          </w:tcBorders>
        </w:tcPr>
        <w:p w:rsidR="002A2AEE" w:rsidRDefault="002A2AEE"/>
      </w:tc>
      <w:tc>
        <w:tcPr>
          <w:tcW w:w="7804" w:type="dxa"/>
          <w:tcBorders>
            <w:top w:val="single" w:sz="4" w:space="0" w:color="000000"/>
            <w:left w:val="single" w:sz="2" w:space="0" w:color="000000"/>
            <w:bottom w:val="single" w:sz="4" w:space="0" w:color="000000"/>
            <w:right w:val="nil"/>
          </w:tcBorders>
        </w:tcPr>
        <w:p w:rsidR="002A2AEE" w:rsidRDefault="00000000">
          <w:pPr>
            <w:ind w:right="76"/>
            <w:jc w:val="center"/>
          </w:pPr>
          <w:r>
            <w:rPr>
              <w:sz w:val="32"/>
            </w:rPr>
            <w:t xml:space="preserve">„Свети Георги Победоносец“. </w:t>
          </w:r>
        </w:p>
      </w:tc>
    </w:tr>
    <w:tr w:rsidR="00EF6885">
      <w:trPr>
        <w:trHeight w:val="427"/>
      </w:trPr>
      <w:tc>
        <w:tcPr>
          <w:tcW w:w="0" w:type="auto"/>
          <w:vMerge/>
          <w:tcBorders>
            <w:top w:val="nil"/>
            <w:left w:val="nil"/>
            <w:bottom w:val="single" w:sz="4" w:space="0" w:color="000000"/>
            <w:right w:val="single" w:sz="2" w:space="0" w:color="000000"/>
          </w:tcBorders>
        </w:tcPr>
        <w:p w:rsidR="002A2AEE" w:rsidRDefault="002A2AEE"/>
      </w:tc>
      <w:tc>
        <w:tcPr>
          <w:tcW w:w="7804" w:type="dxa"/>
          <w:tcBorders>
            <w:top w:val="single" w:sz="4" w:space="0" w:color="000000"/>
            <w:left w:val="single" w:sz="2" w:space="0" w:color="000000"/>
            <w:bottom w:val="nil"/>
            <w:right w:val="nil"/>
          </w:tcBorders>
        </w:tcPr>
        <w:p w:rsidR="002A2AEE" w:rsidRDefault="002A2AEE"/>
      </w:tc>
    </w:tr>
  </w:tbl>
  <w:p w:rsidR="002A2AEE" w:rsidRDefault="00000000">
    <w:pPr>
      <w:spacing w:after="0"/>
      <w:ind w:left="720" w:right="-59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3813" o:spid="_x0000_s1025" type="#_x0000_t75" style="position:absolute;left:0;text-align:left;margin-left:0;margin-top:0;width:492.55pt;height:353.15pt;z-index:-251655168;mso-position-horizontal:center;mso-position-horizontal-relative:margin;mso-position-vertical:center;mso-position-vertical-relative:margin" o:allowincell="f">
          <v:imagedata r:id="rId2" o:title="монограм" gain="19661f" blacklevel="22938f"/>
          <w10:wrap anchorx="margin" anchory="margin"/>
        </v:shape>
      </w:pict>
    </w:r>
    <w:r>
      <w:t xml:space="preserve">"Защото нашата борба не е против кръв и плът, а против началствата, против властите, против светоуправниците на тъмнината от тоя век, против поднебесните духове на злобата." Апостол Павел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419" w:tblpY="714"/>
      <w:tblOverlap w:val="never"/>
      <w:tblW w:w="0" w:type="auto"/>
      <w:tblInd w:w="0" w:type="dxa"/>
      <w:tblCellMar>
        <w:top w:w="25" w:type="dxa"/>
        <w:left w:w="107" w:type="dxa"/>
        <w:right w:w="36" w:type="dxa"/>
      </w:tblCellMar>
      <w:tblLook w:val="04A0" w:firstRow="1" w:lastRow="0" w:firstColumn="1" w:lastColumn="0" w:noHBand="0" w:noVBand="1"/>
    </w:tblPr>
    <w:tblGrid>
      <w:gridCol w:w="1140"/>
      <w:gridCol w:w="8497"/>
    </w:tblGrid>
    <w:tr w:rsidR="00794063" w:rsidTr="00C60BC1">
      <w:trPr>
        <w:trHeight w:val="440"/>
      </w:trPr>
      <w:tc>
        <w:tcPr>
          <w:tcW w:w="0" w:type="auto"/>
          <w:gridSpan w:val="2"/>
        </w:tcPr>
        <w:p w:rsidR="002A2AEE" w:rsidRDefault="00000000" w:rsidP="009512B4">
          <w:pPr>
            <w:ind w:right="74"/>
            <w:jc w:val="center"/>
          </w:pPr>
          <w:r>
            <w:rPr>
              <w:sz w:val="32"/>
            </w:rPr>
            <w:t>Национален Сбор за Съпротива  „Свети Георги Победоносец“.</w:t>
          </w:r>
        </w:p>
      </w:tc>
    </w:tr>
    <w:tr w:rsidR="00794063" w:rsidTr="00C60BC1">
      <w:trPr>
        <w:trHeight w:hRule="exact" w:val="1361"/>
      </w:trPr>
      <w:tc>
        <w:tcPr>
          <w:tcW w:w="0" w:type="auto"/>
        </w:tcPr>
        <w:p w:rsidR="002A2AEE" w:rsidRDefault="00000000" w:rsidP="00794063">
          <w:pPr>
            <w:ind w:right="74"/>
            <w:rPr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B4295F3" wp14:editId="047F6F50">
                <wp:simplePos x="0" y="0"/>
                <wp:positionH relativeFrom="column">
                  <wp:posOffset>-23495</wp:posOffset>
                </wp:positionH>
                <wp:positionV relativeFrom="paragraph">
                  <wp:posOffset>340</wp:posOffset>
                </wp:positionV>
                <wp:extent cx="633095" cy="790575"/>
                <wp:effectExtent l="0" t="0" r="0" b="9525"/>
                <wp:wrapSquare wrapText="bothSides"/>
                <wp:docPr id="25" name="Picture 10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5" name="Picture 10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09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:rsidR="002A2AEE" w:rsidRDefault="00000000" w:rsidP="00794063">
          <w:pPr>
            <w:jc w:val="both"/>
          </w:pPr>
          <w:r>
            <w:t xml:space="preserve">"Защото нашата борба не е против кръв и плът, а против началствата, против властите, против светоуправниците на тъмнината от тоя век, против поднебесните духове на злобата." </w:t>
          </w:r>
        </w:p>
        <w:p w:rsidR="002A2AEE" w:rsidRDefault="00000000" w:rsidP="00794063">
          <w:pPr>
            <w:jc w:val="both"/>
          </w:pPr>
          <w:r>
            <w:t xml:space="preserve">Апостол Павел </w:t>
          </w:r>
        </w:p>
      </w:tc>
    </w:tr>
  </w:tbl>
  <w:p w:rsidR="002A2AEE" w:rsidRDefault="00000000" w:rsidP="009512B4">
    <w:pPr>
      <w:spacing w:after="0"/>
      <w:ind w:left="720" w:right="-59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3812" o:spid="_x0000_s1026" type="#_x0000_t75" style="position:absolute;left:0;text-align:left;margin-left:0;margin-top:0;width:492.55pt;height:353.15pt;z-index:-251654144;mso-position-horizontal:center;mso-position-horizontal-relative:margin;mso-position-vertical:center;mso-position-vertical-relative:margin" o:allowincell="f">
          <v:imagedata r:id="rId2" o:title="монограм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F10DA"/>
    <w:multiLevelType w:val="hybridMultilevel"/>
    <w:tmpl w:val="F67A68AA"/>
    <w:lvl w:ilvl="0" w:tplc="FDFEC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08550C"/>
    <w:multiLevelType w:val="hybridMultilevel"/>
    <w:tmpl w:val="FB080B4C"/>
    <w:lvl w:ilvl="0" w:tplc="FDE27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1716"/>
    <w:multiLevelType w:val="hybridMultilevel"/>
    <w:tmpl w:val="4DECE294"/>
    <w:lvl w:ilvl="0" w:tplc="FDE27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912D69"/>
    <w:multiLevelType w:val="multilevel"/>
    <w:tmpl w:val="C68A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20B42"/>
    <w:multiLevelType w:val="multilevel"/>
    <w:tmpl w:val="331C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0664A"/>
    <w:multiLevelType w:val="hybridMultilevel"/>
    <w:tmpl w:val="B1A0BC68"/>
    <w:lvl w:ilvl="0" w:tplc="DE84F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95788C"/>
    <w:multiLevelType w:val="multilevel"/>
    <w:tmpl w:val="BFFE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976714"/>
    <w:multiLevelType w:val="multilevel"/>
    <w:tmpl w:val="5AA0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911227">
    <w:abstractNumId w:val="0"/>
  </w:num>
  <w:num w:numId="2" w16cid:durableId="1746224146">
    <w:abstractNumId w:val="2"/>
  </w:num>
  <w:num w:numId="3" w16cid:durableId="1816873868">
    <w:abstractNumId w:val="1"/>
  </w:num>
  <w:num w:numId="4" w16cid:durableId="690305744">
    <w:abstractNumId w:val="5"/>
  </w:num>
  <w:num w:numId="5" w16cid:durableId="568346164">
    <w:abstractNumId w:val="3"/>
  </w:num>
  <w:num w:numId="6" w16cid:durableId="612328402">
    <w:abstractNumId w:val="6"/>
  </w:num>
  <w:num w:numId="7" w16cid:durableId="1977446563">
    <w:abstractNumId w:val="4"/>
  </w:num>
  <w:num w:numId="8" w16cid:durableId="1365792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37"/>
    <w:rsid w:val="0014248F"/>
    <w:rsid w:val="001C2947"/>
    <w:rsid w:val="00283596"/>
    <w:rsid w:val="002A2AEE"/>
    <w:rsid w:val="002E6EB6"/>
    <w:rsid w:val="003146BB"/>
    <w:rsid w:val="0037294D"/>
    <w:rsid w:val="003E7399"/>
    <w:rsid w:val="00447B66"/>
    <w:rsid w:val="0046141E"/>
    <w:rsid w:val="00494D1E"/>
    <w:rsid w:val="004E2C3A"/>
    <w:rsid w:val="004E5906"/>
    <w:rsid w:val="00583E8A"/>
    <w:rsid w:val="00602F4B"/>
    <w:rsid w:val="006723A3"/>
    <w:rsid w:val="006A4DE7"/>
    <w:rsid w:val="006E5272"/>
    <w:rsid w:val="00726901"/>
    <w:rsid w:val="00762DD5"/>
    <w:rsid w:val="00A54D8A"/>
    <w:rsid w:val="00A551BA"/>
    <w:rsid w:val="00BA0B01"/>
    <w:rsid w:val="00CD65E9"/>
    <w:rsid w:val="00D40AB1"/>
    <w:rsid w:val="00D90E90"/>
    <w:rsid w:val="00DF5913"/>
    <w:rsid w:val="00ED1637"/>
    <w:rsid w:val="00ED62D4"/>
    <w:rsid w:val="00E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78997"/>
  <w15:chartTrackingRefBased/>
  <w15:docId w15:val="{333280F0-30AA-4BEE-9622-32CD6EBE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D1637"/>
    <w:pPr>
      <w:spacing w:after="0" w:line="240" w:lineRule="auto"/>
    </w:pPr>
    <w:rPr>
      <w:rFonts w:eastAsiaTheme="minorEastAsia"/>
      <w:kern w:val="0"/>
      <w:lang w:eastAsia="bg-BG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D163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kern w:val="0"/>
      <w:lang w:eastAsia="bg-BG" w:bidi="bg-BG"/>
      <w14:ligatures w14:val="none"/>
    </w:rPr>
  </w:style>
  <w:style w:type="character" w:customStyle="1" w:styleId="a4">
    <w:name w:val="Горен колонтитул Знак"/>
    <w:basedOn w:val="a0"/>
    <w:link w:val="a3"/>
    <w:uiPriority w:val="99"/>
    <w:rsid w:val="00ED1637"/>
    <w:rPr>
      <w:rFonts w:ascii="Calibri" w:eastAsia="Calibri" w:hAnsi="Calibri" w:cs="Calibri"/>
      <w:color w:val="000000"/>
      <w:kern w:val="0"/>
      <w:lang w:eastAsia="bg-BG" w:bidi="bg-BG"/>
      <w14:ligatures w14:val="none"/>
    </w:rPr>
  </w:style>
  <w:style w:type="paragraph" w:styleId="a5">
    <w:name w:val="footer"/>
    <w:basedOn w:val="a"/>
    <w:link w:val="a6"/>
    <w:uiPriority w:val="99"/>
    <w:unhideWhenUsed/>
    <w:rsid w:val="00ED163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kern w:val="0"/>
      <w:lang w:eastAsia="bg-BG" w:bidi="bg-BG"/>
      <w14:ligatures w14:val="none"/>
    </w:rPr>
  </w:style>
  <w:style w:type="character" w:customStyle="1" w:styleId="a6">
    <w:name w:val="Долен колонтитул Знак"/>
    <w:basedOn w:val="a0"/>
    <w:link w:val="a5"/>
    <w:uiPriority w:val="99"/>
    <w:rsid w:val="00ED1637"/>
    <w:rPr>
      <w:rFonts w:ascii="Calibri" w:eastAsia="Calibri" w:hAnsi="Calibri" w:cs="Calibri"/>
      <w:color w:val="000000"/>
      <w:kern w:val="0"/>
      <w:lang w:eastAsia="bg-BG" w:bidi="bg-BG"/>
      <w14:ligatures w14:val="none"/>
    </w:rPr>
  </w:style>
  <w:style w:type="character" w:styleId="a7">
    <w:name w:val="Hyperlink"/>
    <w:basedOn w:val="a0"/>
    <w:uiPriority w:val="99"/>
    <w:unhideWhenUsed/>
    <w:rsid w:val="00ED1637"/>
    <w:rPr>
      <w:color w:val="0563C1" w:themeColor="hyperlink"/>
      <w:u w:val="single"/>
    </w:rPr>
  </w:style>
  <w:style w:type="table" w:styleId="a8">
    <w:name w:val="Grid Table Light"/>
    <w:basedOn w:val="a1"/>
    <w:uiPriority w:val="40"/>
    <w:rsid w:val="00ED1637"/>
    <w:pPr>
      <w:spacing w:after="0" w:line="240" w:lineRule="auto"/>
    </w:pPr>
    <w:rPr>
      <w:rFonts w:eastAsiaTheme="minorEastAsia"/>
      <w:kern w:val="0"/>
      <w:lang w:eastAsia="bg-BG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stopnaplandemiata.bg.cm/" TargetMode="External"/><Relationship Id="rId2" Type="http://schemas.openxmlformats.org/officeDocument/2006/relationships/hyperlink" Target="mailto:nss_sveti_georgi_pobedonosets@abv.b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Александър Долев</dc:creator>
  <cp:keywords/>
  <dc:description/>
  <cp:lastModifiedBy>Александър Долев</cp:lastModifiedBy>
  <cp:revision>6</cp:revision>
  <dcterms:created xsi:type="dcterms:W3CDTF">2024-08-29T10:19:00Z</dcterms:created>
  <dcterms:modified xsi:type="dcterms:W3CDTF">2024-08-29T10:21:00Z</dcterms:modified>
</cp:coreProperties>
</file>