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80A7E" w14:textId="77777777" w:rsidR="0096473A" w:rsidRDefault="008B287E">
      <w:pPr>
        <w:pStyle w:val="1"/>
      </w:pPr>
      <w:r>
        <w:t>Support Letter – Art. 8(3) Reg 479/2009 (Bulgaria)</w:t>
      </w:r>
    </w:p>
    <w:p w14:paraId="20774D48" w14:textId="77777777" w:rsidR="0096473A" w:rsidRDefault="008B287E">
      <w:r>
        <w:t>Date: 03 June 2025</w:t>
      </w:r>
    </w:p>
    <w:p w14:paraId="1BDC7DE7" w14:textId="77777777" w:rsidR="0096473A" w:rsidRDefault="0096473A"/>
    <w:p w14:paraId="74D6C9FA" w14:textId="77777777" w:rsidR="0096473A" w:rsidRDefault="008B287E">
      <w:r>
        <w:t>To: Eurostat – Institutional Support  (ESTAT-INSTITUTIONAL-SUPPORT@ec.europa.eu)</w:t>
      </w:r>
    </w:p>
    <w:p w14:paraId="6F0F6B76" w14:textId="77777777" w:rsidR="0096473A" w:rsidRDefault="008B287E">
      <w:r>
        <w:t>Cc: Eurostat Media/Quality           (eurostat-mediasupport@ec.europa.eu);</w:t>
      </w:r>
    </w:p>
    <w:p w14:paraId="3D9A806F" w14:textId="77777777" w:rsidR="0096473A" w:rsidRDefault="008B287E">
      <w:r>
        <w:t xml:space="preserve">    DG ECFIN Unit E2                (ECFIN-EDP-CONVERGENCE@ec.europa.eu);</w:t>
      </w:r>
    </w:p>
    <w:p w14:paraId="6B3DF1D2" w14:textId="77777777" w:rsidR="0096473A" w:rsidRDefault="008B287E">
      <w:r>
        <w:t xml:space="preserve">    EFC Secretariat                 (ecfin-efc-info@ec.europa.eu);</w:t>
      </w:r>
    </w:p>
    <w:p w14:paraId="4272FAC7" w14:textId="77777777" w:rsidR="0096473A" w:rsidRDefault="008B287E">
      <w:r>
        <w:t xml:space="preserve">    ECB GFS Statistics              (statistics-gf@ecb.int)</w:t>
      </w:r>
    </w:p>
    <w:p w14:paraId="500B76F0" w14:textId="77777777" w:rsidR="0096473A" w:rsidRDefault="0096473A"/>
    <w:p w14:paraId="62DEBC70" w14:textId="77777777" w:rsidR="0096473A" w:rsidRDefault="008B287E">
      <w:r>
        <w:t>Subject: Re: **ESTA63890** – Support for Bulgaria Art. 8(3) request (EDP misreporting)</w:t>
      </w:r>
    </w:p>
    <w:p w14:paraId="15EFFA12" w14:textId="77777777" w:rsidR="0096473A" w:rsidRDefault="0096473A"/>
    <w:p w14:paraId="32592ECD" w14:textId="77777777" w:rsidR="0096473A" w:rsidRDefault="008B287E">
      <w:r>
        <w:t>Dear Sir or Madam,</w:t>
      </w:r>
    </w:p>
    <w:p w14:paraId="22653309" w14:textId="77777777" w:rsidR="0096473A" w:rsidRDefault="0096473A"/>
    <w:p w14:paraId="1F639B77" w14:textId="77777777" w:rsidR="0096473A" w:rsidRDefault="008B287E">
      <w:r>
        <w:t>I refer to Eurostat’s acknowledgement **ESTA63890** of 2 June 2025 (“We confirm that we have received your email. We will get back to you as soon as possible.”), issued in response to the submission by **Mr Rosen Rashkov, Attorney‑at‑Law**, acting on behalf of the non‑governmental organisation “Civic Initiative – Buditeli” (EIK 208110511).</w:t>
      </w:r>
    </w:p>
    <w:p w14:paraId="4B4FEABD" w14:textId="77777777" w:rsidR="0096473A" w:rsidRDefault="0096473A"/>
    <w:p w14:paraId="53ED2B93" w14:textId="77777777" w:rsidR="0096473A" w:rsidRDefault="008B287E">
      <w:r>
        <w:t>I hereby express my support for that substantiated request, which alleges a material misreporting of Bulgaria’s 2024 general‑government deficit under Article 8(3) of Council Regulation (EC) 479/2009.</w:t>
      </w:r>
    </w:p>
    <w:p w14:paraId="4CAD9B37" w14:textId="77777777" w:rsidR="0096473A" w:rsidRDefault="0096473A"/>
    <w:p w14:paraId="3B286DA3" w14:textId="77777777" w:rsidR="0096473A" w:rsidRDefault="008B287E">
      <w:r>
        <w:t>According to the public documentation, the accrual‑based deficit for 2024 reaches —10 289 million BGN (—5.07 % of GDP) once non‑compliant adjustments are reversed, compared with the officially notified —3.04 % of GDP.</w:t>
      </w:r>
    </w:p>
    <w:p w14:paraId="1902EC32" w14:textId="77777777" w:rsidR="0096473A" w:rsidRDefault="0096473A"/>
    <w:p w14:paraId="202BF5CF" w14:textId="77777777" w:rsidR="0096473A" w:rsidRDefault="008B287E">
      <w:r>
        <w:lastRenderedPageBreak/>
        <w:t>Key points that call for an immediate quality review:</w:t>
      </w:r>
    </w:p>
    <w:p w14:paraId="5181D027" w14:textId="77777777" w:rsidR="0096473A" w:rsidRDefault="008B287E">
      <w:r>
        <w:t>• 2 481 million BGN in “net receivables” accrued on 31 December 2024 without evidence of collection;</w:t>
      </w:r>
    </w:p>
    <w:p w14:paraId="7C1B4CB8" w14:textId="77777777" w:rsidR="0096473A" w:rsidRDefault="008B287E">
      <w:r>
        <w:t>• At least 1 500 million BGN in suppliers’ invoices shifted into 2025;</w:t>
      </w:r>
    </w:p>
    <w:p w14:paraId="3E5B25E8" w14:textId="77777777" w:rsidR="0096473A" w:rsidRDefault="008B287E">
      <w:r>
        <w:t>• 1 300 million BGN capital transfers reclassified as financial assets.</w:t>
      </w:r>
    </w:p>
    <w:p w14:paraId="49CA00E2" w14:textId="77777777" w:rsidR="0096473A" w:rsidRDefault="0096473A"/>
    <w:p w14:paraId="6590C281" w14:textId="77777777" w:rsidR="0096473A" w:rsidRDefault="008B287E">
      <w:r>
        <w:t>In line with Article 8(3) and §5 of the EDP Code of Conduct, I respectfully request Eurostat to:</w:t>
      </w:r>
    </w:p>
    <w:p w14:paraId="7D82B7FC" w14:textId="77777777" w:rsidR="0096473A" w:rsidRDefault="008B287E">
      <w:r>
        <w:t xml:space="preserve">  1. Launch a dialogue visit to Bulgaria;</w:t>
      </w:r>
    </w:p>
    <w:p w14:paraId="1AD938AF" w14:textId="77777777" w:rsidR="0096473A" w:rsidRDefault="008B287E">
      <w:r>
        <w:t xml:space="preserve">  2. Reassess the April 2025 EDP notification;</w:t>
      </w:r>
    </w:p>
    <w:p w14:paraId="1A6047E6" w14:textId="77777777" w:rsidR="0096473A" w:rsidRDefault="008B287E">
      <w:r>
        <w:t xml:space="preserve">  3. Inform DG ECFIN and the Economic and Financial Committee of its findings.</w:t>
      </w:r>
    </w:p>
    <w:p w14:paraId="7AB3107A" w14:textId="77777777" w:rsidR="0096473A" w:rsidRDefault="0096473A"/>
    <w:p w14:paraId="428C14ED" w14:textId="77777777" w:rsidR="0096473A" w:rsidRDefault="008B287E">
      <w:r>
        <w:t>Thank you for your attention.</w:t>
      </w:r>
    </w:p>
    <w:p w14:paraId="130BA4A3" w14:textId="77777777" w:rsidR="0096473A" w:rsidRDefault="0096473A"/>
    <w:p w14:paraId="40B7C134" w14:textId="77777777" w:rsidR="0096473A" w:rsidRDefault="008B287E">
      <w:r>
        <w:t>Sincerely,</w:t>
      </w:r>
    </w:p>
    <w:p w14:paraId="647BC660" w14:textId="77777777" w:rsidR="0096473A" w:rsidRDefault="0096473A"/>
    <w:p w14:paraId="7B762C95" w14:textId="77777777" w:rsidR="0096473A" w:rsidRDefault="008B287E">
      <w:r>
        <w:t>______________________________</w:t>
      </w:r>
    </w:p>
    <w:p w14:paraId="7F995CEA" w14:textId="77777777" w:rsidR="0096473A" w:rsidRDefault="008B287E">
      <w:r>
        <w:t>Name: _______________________________________</w:t>
      </w:r>
    </w:p>
    <w:p w14:paraId="398E88E6" w14:textId="77777777" w:rsidR="0096473A" w:rsidRDefault="008B287E">
      <w:r>
        <w:t>City / Organisation: _________________________</w:t>
      </w:r>
    </w:p>
    <w:p w14:paraId="2C26BE31" w14:textId="77777777" w:rsidR="0096473A" w:rsidRDefault="008B287E">
      <w:r>
        <w:t>E‑mail: _____________________________________</w:t>
      </w:r>
    </w:p>
    <w:p w14:paraId="655B2116" w14:textId="77777777" w:rsidR="0096473A" w:rsidRDefault="008B287E">
      <w:r>
        <w:t>Signature (optional): ________________________</w:t>
      </w:r>
    </w:p>
    <w:sectPr w:rsidR="0096473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1884306">
    <w:abstractNumId w:val="8"/>
  </w:num>
  <w:num w:numId="2" w16cid:durableId="653605507">
    <w:abstractNumId w:val="6"/>
  </w:num>
  <w:num w:numId="3" w16cid:durableId="969242930">
    <w:abstractNumId w:val="5"/>
  </w:num>
  <w:num w:numId="4" w16cid:durableId="643857524">
    <w:abstractNumId w:val="4"/>
  </w:num>
  <w:num w:numId="5" w16cid:durableId="141387525">
    <w:abstractNumId w:val="7"/>
  </w:num>
  <w:num w:numId="6" w16cid:durableId="1729255836">
    <w:abstractNumId w:val="3"/>
  </w:num>
  <w:num w:numId="7" w16cid:durableId="1452631494">
    <w:abstractNumId w:val="2"/>
  </w:num>
  <w:num w:numId="8" w16cid:durableId="2007975082">
    <w:abstractNumId w:val="1"/>
  </w:num>
  <w:num w:numId="9" w16cid:durableId="136112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B1C8F"/>
    <w:rsid w:val="008B287E"/>
    <w:rsid w:val="0096473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27D85"/>
  <w14:defaultImageDpi w14:val="300"/>
  <w15:docId w15:val="{A1149448-E7E0-D745-B46A-23424A05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Times New Roman" w:hAnsi="Times New Roman"/>
      <w:sz w:val="24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Горен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Долен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лавие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лавие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лавие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лав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d">
    <w:name w:val="Подзаглавие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ен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ен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ен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на макрос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Цитат Знак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Заглавие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лавие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лавие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лавие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лавие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afa">
    <w:name w:val="Intense Quote"/>
    <w:basedOn w:val="a1"/>
    <w:next w:val="a1"/>
    <w:link w:val="afb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Интензивно цитиране Знак"/>
    <w:basedOn w:val="a2"/>
    <w:link w:val="afa"/>
    <w:uiPriority w:val="30"/>
    <w:rsid w:val="00FC693F"/>
    <w:rPr>
      <w:b/>
      <w:bCs/>
      <w:i/>
      <w:iCs/>
      <w:color w:val="4F81BD" w:themeColor="accent1"/>
    </w:rPr>
  </w:style>
  <w:style w:type="character" w:styleId="afc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d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e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f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1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2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3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4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5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7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8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9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6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7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8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9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Александър Долев</cp:lastModifiedBy>
  <cp:revision>2</cp:revision>
  <dcterms:created xsi:type="dcterms:W3CDTF">2025-06-03T13:23:00Z</dcterms:created>
  <dcterms:modified xsi:type="dcterms:W3CDTF">2025-06-03T13:23:00Z</dcterms:modified>
  <cp:category/>
</cp:coreProperties>
</file>